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致：佛山市顺德区飞鹅永久墓园管理处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我方参与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飞鹅墓园2024年苗木及花卉采购项目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的竞价活动,现承诺如下: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我方具有良好的商业信誉和健全的财务会计制度；具有履行合同所必需的设备和专业技术能力；依法缴纳税收和社会保障资金；参加本项目政府采购活动前三年内，在经营活动中没有重大违法记录。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若我方以上承诺不实，自愿承担提供虚假材料谋取中标、成交的法律责任。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承诺供应商(全称并加盖公章)：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日期: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2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47"/>
        <w:gridCol w:w="2"/>
        <w:gridCol w:w="716"/>
        <w:gridCol w:w="2265"/>
        <w:gridCol w:w="990"/>
        <w:gridCol w:w="990"/>
        <w:gridCol w:w="1245"/>
        <w:gridCol w:w="130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8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全费用清单与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7" w:hRule="atLeast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项目名称:</w:t>
            </w: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飞鹅墓园2024年苗木及花卉采购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第1页,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0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采购量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0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2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1、桂花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2、直径：5-7cm，高度：1.8m-2.0m，冠幅：1.5-1.8m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1、桂花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2、高度：1.5m,冠幅：1.2m，含盆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红山茶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1、红山茶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2、高度：1.4m，冠幅1.0-1.2m，含盆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1、草皮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2、台湾草，苗高2cm，0.7m²/扎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1、花泥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2、12.5KG/袋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1、菊花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2、高度：0.5m，含盆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6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毛杜鹃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1、毛杜鹃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2、高度：0.3m-0.4m，含盆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0" w:hRule="atLeast"/>
        </w:trPr>
        <w:tc>
          <w:tcPr>
            <w:tcW w:w="7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全费用清单与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飞鹅墓园2024年苗木及花卉采购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第2页,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采购量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1、三角梅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2、高度：0.3m-0.45m，含盆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1、龙柏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1、龙柏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1、发财树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小叶绿萝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1、小叶绿萝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大叶绿萝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1、大叶绿萝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富贵竹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1、富贵竹笼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散尾葵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1、散尾葵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全费用清单与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飞鹅墓园2024年苗木及花卉采购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第3页, 共3页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采购量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1、龙血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2、高度：1m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富贵竹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1、富贵竹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2、水培植物，高度：40cm以上；3、冠幅：40cm以上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1、如意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2、水培植物，高度：30cm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1、红掌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2、水培植物，高度：50cm，冠幅：30cm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1、绿萝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2、水培植物，高度：40cm，冠幅：30cm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也门铁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1、也门铁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2、直径：0.45m-0.5m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3、含材料费、含税、含运输到场费用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napToGrid w:val="0"/>
        <w:spacing w:before="800"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widowControl/>
        <w:snapToGrid w:val="0"/>
        <w:spacing w:before="800"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飞鹅墓园2024年苗木及花卉采购合同书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60" w:line="240" w:lineRule="auto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采购人：佛山市顺德区飞鹅永久墓园管理处（以下简称甲方）</w:t>
      </w:r>
    </w:p>
    <w:p>
      <w:pPr>
        <w:tabs>
          <w:tab w:val="left" w:pos="851"/>
          <w:tab w:val="left" w:pos="4536"/>
        </w:tabs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电    话：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tabs>
          <w:tab w:val="left" w:pos="851"/>
          <w:tab w:val="left" w:pos="4536"/>
        </w:tabs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地    址：佛山市顺德区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供货商： </w:t>
      </w:r>
      <w:r>
        <w:rPr>
          <w:rFonts w:hint="eastAsia" w:ascii="仿宋" w:hAnsi="仿宋" w:eastAsia="仿宋" w:cs="仿宋"/>
          <w:b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/>
          <w:sz w:val="24"/>
        </w:rPr>
        <w:t>（以下简称乙方）</w:t>
      </w:r>
    </w:p>
    <w:p>
      <w:pPr>
        <w:tabs>
          <w:tab w:val="left" w:pos="851"/>
          <w:tab w:val="left" w:pos="4536"/>
        </w:tabs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ab/>
      </w:r>
      <w:r>
        <w:rPr>
          <w:rFonts w:hint="eastAsia" w:ascii="仿宋" w:hAnsi="仿宋" w:eastAsia="仿宋" w:cs="仿宋"/>
          <w:sz w:val="24"/>
        </w:rPr>
        <w:t>电    话：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tabs>
          <w:tab w:val="left" w:pos="851"/>
          <w:tab w:val="left" w:pos="4536"/>
        </w:tabs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地    址：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28"/>
          <w:szCs w:val="21"/>
        </w:rPr>
      </w:pPr>
      <w:r>
        <w:rPr>
          <w:rFonts w:hint="eastAsia" w:ascii="仿宋" w:hAnsi="仿宋" w:eastAsia="仿宋" w:cs="仿宋"/>
          <w:sz w:val="24"/>
        </w:rPr>
        <w:t>根据</w:t>
      </w:r>
      <w:r>
        <w:rPr>
          <w:rFonts w:hint="eastAsia" w:ascii="仿宋" w:hAnsi="仿宋" w:eastAsia="仿宋" w:cs="仿宋"/>
          <w:sz w:val="24"/>
          <w:u w:val="single"/>
        </w:rPr>
        <w:t>顺德区飞鹅永久墓园2024年苗木及花卉采购项目竞价邀请公告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lang w:val="en-US" w:eastAsia="zh-CN"/>
        </w:rPr>
        <w:t>竞价</w:t>
      </w:r>
      <w:r>
        <w:rPr>
          <w:rFonts w:hint="eastAsia" w:ascii="仿宋" w:hAnsi="仿宋" w:eastAsia="仿宋" w:cs="仿宋"/>
          <w:sz w:val="24"/>
        </w:rPr>
        <w:t>结果，按照《中华人民共和国政府采购法》《中华人民共和国民法典》的规定，</w:t>
      </w:r>
      <w:r>
        <w:rPr>
          <w:rFonts w:hint="eastAsia" w:ascii="仿宋" w:hAnsi="仿宋" w:eastAsia="仿宋" w:cs="仿宋"/>
          <w:kern w:val="28"/>
          <w:sz w:val="24"/>
        </w:rPr>
        <w:t>经双方协商，</w:t>
      </w:r>
      <w:r>
        <w:rPr>
          <w:rFonts w:hint="eastAsia" w:ascii="仿宋" w:hAnsi="仿宋" w:eastAsia="仿宋" w:cs="仿宋"/>
          <w:sz w:val="24"/>
        </w:rPr>
        <w:t>本着平等互利和诚实信用的原则，</w:t>
      </w:r>
      <w:r>
        <w:rPr>
          <w:rFonts w:hint="eastAsia" w:ascii="仿宋" w:hAnsi="仿宋" w:eastAsia="仿宋" w:cs="仿宋"/>
          <w:kern w:val="28"/>
          <w:sz w:val="24"/>
        </w:rPr>
        <w:t>一致同意签订本合同如下：</w:t>
      </w:r>
    </w:p>
    <w:p>
      <w:pPr>
        <w:numPr>
          <w:ilvl w:val="0"/>
          <w:numId w:val="1"/>
        </w:num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0" w:name="_Toc139963998"/>
      <w:r>
        <w:rPr>
          <w:rFonts w:hint="eastAsia" w:ascii="仿宋" w:hAnsi="仿宋" w:eastAsia="仿宋" w:cs="仿宋"/>
          <w:b/>
          <w:sz w:val="24"/>
        </w:rPr>
        <w:t>采购内容</w:t>
      </w:r>
      <w:bookmarkEnd w:id="0"/>
    </w:p>
    <w:p>
      <w:pPr>
        <w:numPr>
          <w:ilvl w:val="0"/>
          <w:numId w:val="0"/>
        </w:numPr>
        <w:snapToGrid w:val="0"/>
        <w:spacing w:before="156" w:beforeLines="50" w:line="360" w:lineRule="auto"/>
        <w:ind w:firstLine="420" w:firstLineChars="0"/>
        <w:outlineLvl w:val="2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</w:rPr>
        <w:t>苗木及花卉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等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1" w:name="_Toc139963999"/>
      <w:r>
        <w:rPr>
          <w:rFonts w:hint="eastAsia" w:ascii="仿宋" w:hAnsi="仿宋" w:eastAsia="仿宋" w:cs="仿宋"/>
          <w:b/>
          <w:sz w:val="24"/>
        </w:rPr>
        <w:t>二、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b/>
          <w:sz w:val="24"/>
        </w:rPr>
        <w:t>期限及合同金额</w:t>
      </w:r>
      <w:bookmarkEnd w:id="1"/>
    </w:p>
    <w:p>
      <w:pPr>
        <w:snapToGrid w:val="0"/>
        <w:spacing w:line="360" w:lineRule="auto"/>
        <w:ind w:left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期限：自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日起至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日止。</w:t>
      </w:r>
    </w:p>
    <w:p>
      <w:pPr>
        <w:snapToGrid w:val="0"/>
        <w:spacing w:line="360" w:lineRule="auto"/>
        <w:ind w:left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2、合同暂定总额：（大写）：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（¥</w:t>
      </w:r>
      <w:r>
        <w:rPr>
          <w:rFonts w:hint="eastAsia" w:ascii="仿宋" w:hAnsi="仿宋" w:eastAsia="仿宋" w:cs="仿宋"/>
          <w:sz w:val="24"/>
          <w:u w:val="single"/>
        </w:rPr>
        <w:t xml:space="preserve">     万元</w:t>
      </w:r>
      <w:r>
        <w:rPr>
          <w:rFonts w:hint="eastAsia" w:ascii="仿宋" w:hAnsi="仿宋" w:eastAsia="仿宋" w:cs="仿宋"/>
          <w:sz w:val="24"/>
        </w:rPr>
        <w:t>）人民币，具体以甲方的实际采购量为准，但甲方不保证</w:t>
      </w:r>
      <w:r>
        <w:rPr>
          <w:rFonts w:hint="eastAsia" w:ascii="仿宋" w:hAnsi="仿宋" w:eastAsia="仿宋" w:cs="仿宋"/>
          <w:sz w:val="24"/>
          <w:lang w:val="en-US" w:eastAsia="zh-CN"/>
        </w:rPr>
        <w:t>合同期限</w:t>
      </w:r>
      <w:r>
        <w:rPr>
          <w:rFonts w:hint="eastAsia" w:ascii="仿宋" w:hAnsi="仿宋" w:eastAsia="仿宋" w:cs="仿宋"/>
          <w:sz w:val="24"/>
        </w:rPr>
        <w:t>的采购量必须达到合同金额。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</w:t>
      </w:r>
      <w:r>
        <w:rPr>
          <w:rFonts w:hint="eastAsia" w:ascii="仿宋" w:hAnsi="仿宋" w:eastAsia="仿宋" w:cs="仿宋"/>
          <w:sz w:val="24"/>
          <w:lang w:val="en-US" w:eastAsia="zh-CN"/>
        </w:rPr>
        <w:t>采购物品</w:t>
      </w:r>
      <w:r>
        <w:rPr>
          <w:rFonts w:hint="eastAsia" w:ascii="仿宋" w:hAnsi="仿宋" w:eastAsia="仿宋" w:cs="仿宋"/>
          <w:sz w:val="24"/>
        </w:rPr>
        <w:t>价格核定：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（1）采购</w:t>
      </w:r>
      <w:r>
        <w:rPr>
          <w:rFonts w:hint="eastAsia" w:ascii="仿宋" w:hAnsi="仿宋" w:eastAsia="仿宋" w:cs="仿宋"/>
          <w:sz w:val="24"/>
          <w:lang w:val="en-US" w:eastAsia="zh-CN"/>
        </w:rPr>
        <w:t>的物品在乙方全费用清单与报价表中的</w:t>
      </w:r>
      <w:r>
        <w:rPr>
          <w:rFonts w:hint="eastAsia" w:ascii="仿宋" w:hAnsi="仿宋" w:eastAsia="仿宋" w:cs="仿宋"/>
          <w:sz w:val="24"/>
        </w:rPr>
        <w:t>物品时，单价以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全费用清单与报价表中对应物品的单价结算。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val="en-US" w:eastAsia="zh-CN"/>
        </w:rPr>
        <w:t>的物品在乙方全费用清单与报价表的</w:t>
      </w:r>
      <w:r>
        <w:rPr>
          <w:rFonts w:hint="eastAsia" w:ascii="仿宋" w:hAnsi="仿宋" w:eastAsia="仿宋" w:cs="仿宋"/>
          <w:sz w:val="24"/>
        </w:rPr>
        <w:t>物品</w:t>
      </w:r>
      <w:r>
        <w:rPr>
          <w:rFonts w:hint="eastAsia" w:ascii="仿宋" w:hAnsi="仿宋" w:eastAsia="仿宋" w:cs="仿宋"/>
          <w:sz w:val="24"/>
          <w:lang w:val="en-US" w:eastAsia="zh-CN"/>
        </w:rPr>
        <w:t>之外的，</w:t>
      </w:r>
      <w:r>
        <w:rPr>
          <w:rFonts w:hint="eastAsia" w:ascii="仿宋" w:hAnsi="仿宋" w:eastAsia="仿宋" w:cs="仿宋"/>
          <w:sz w:val="24"/>
        </w:rPr>
        <w:t>以</w:t>
      </w:r>
      <w:r>
        <w:rPr>
          <w:rFonts w:hint="eastAsia" w:ascii="仿宋" w:hAnsi="仿宋" w:eastAsia="仿宋" w:cs="仿宋"/>
          <w:sz w:val="24"/>
          <w:lang w:val="en-US" w:eastAsia="zh-CN"/>
        </w:rPr>
        <w:t>双方确定的</w:t>
      </w:r>
      <w:r>
        <w:rPr>
          <w:rFonts w:hint="eastAsia" w:ascii="仿宋" w:hAnsi="仿宋" w:eastAsia="仿宋" w:cs="仿宋"/>
          <w:sz w:val="24"/>
        </w:rPr>
        <w:t>单价进行结算。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每次将采购计划以《苗木及花卉采购计划单》的方式通知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价格为全包价，以人民币为结算货币，包含</w:t>
      </w:r>
      <w:r>
        <w:rPr>
          <w:rFonts w:hint="eastAsia" w:ascii="仿宋" w:hAnsi="仿宋" w:eastAsia="仿宋" w:cs="仿宋"/>
          <w:sz w:val="24"/>
          <w:lang w:val="en-US" w:eastAsia="zh-CN"/>
        </w:rPr>
        <w:t>物品</w:t>
      </w:r>
      <w:r>
        <w:rPr>
          <w:rFonts w:hint="eastAsia" w:ascii="仿宋" w:hAnsi="仿宋" w:eastAsia="仿宋" w:cs="仿宋"/>
          <w:sz w:val="24"/>
        </w:rPr>
        <w:t>、包装、仓储、运输、装卸、堆放、保险、售后服务、全额税费，以及合同实施过程中的应预见和不可预见费用等。采购人不再支付其他任何费用。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4、结算与付款方式：</w:t>
      </w:r>
    </w:p>
    <w:p>
      <w:pPr>
        <w:tabs>
          <w:tab w:val="left" w:pos="420"/>
        </w:tabs>
        <w:snapToGrid w:val="0"/>
        <w:spacing w:line="360" w:lineRule="auto"/>
        <w:ind w:left="8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货款按季结算，即本季度结束</w:t>
      </w:r>
      <w:r>
        <w:rPr>
          <w:rFonts w:hint="eastAsia" w:ascii="仿宋" w:hAnsi="仿宋" w:eastAsia="仿宋" w:cs="仿宋"/>
          <w:sz w:val="24"/>
          <w:lang w:val="en-US" w:eastAsia="zh-CN"/>
        </w:rPr>
        <w:t>前乙方</w:t>
      </w:r>
      <w:r>
        <w:rPr>
          <w:rFonts w:hint="eastAsia" w:ascii="仿宋" w:hAnsi="仿宋" w:eastAsia="仿宋" w:cs="仿宋"/>
          <w:sz w:val="24"/>
        </w:rPr>
        <w:t>将本季度的实际送货清单汇总并递交给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办理结算。</w:t>
      </w:r>
    </w:p>
    <w:p>
      <w:pPr>
        <w:tabs>
          <w:tab w:val="left" w:pos="420"/>
        </w:tabs>
        <w:snapToGrid w:val="0"/>
        <w:spacing w:line="360" w:lineRule="auto"/>
        <w:ind w:left="8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按双方确认的结算金额向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开具有效等额发票,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收到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发票后15个工作日内提</w:t>
      </w:r>
      <w:r>
        <w:rPr>
          <w:rFonts w:hint="eastAsia" w:ascii="仿宋" w:hAnsi="仿宋" w:eastAsia="仿宋" w:cs="仿宋"/>
          <w:sz w:val="24"/>
          <w:lang w:val="en-US" w:eastAsia="zh-CN"/>
        </w:rPr>
        <w:t>交</w:t>
      </w:r>
      <w:r>
        <w:rPr>
          <w:rFonts w:hint="eastAsia" w:ascii="仿宋" w:hAnsi="仿宋" w:eastAsia="仿宋" w:cs="仿宋"/>
          <w:sz w:val="24"/>
        </w:rPr>
        <w:t>支付申请即视为支付。</w:t>
      </w:r>
    </w:p>
    <w:p>
      <w:pPr>
        <w:tabs>
          <w:tab w:val="left" w:pos="420"/>
        </w:tabs>
        <w:snapToGrid w:val="0"/>
        <w:spacing w:line="360" w:lineRule="auto"/>
        <w:ind w:left="8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出具发票方、收款方均须与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名称一致。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2" w:name="_Toc139964000"/>
      <w:r>
        <w:rPr>
          <w:rFonts w:hint="eastAsia" w:ascii="仿宋" w:hAnsi="仿宋" w:eastAsia="仿宋" w:cs="仿宋"/>
          <w:b/>
          <w:sz w:val="24"/>
        </w:rPr>
        <w:t>三、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双方权力和义务</w:t>
      </w:r>
      <w:bookmarkEnd w:id="2"/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所供的物品必须符合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要求。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物品具体需求量以甲方通知的为准。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、乙方除不可抗力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乙方应在双方约定的时间内将物品准时送到甲方指定在点。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</w:rPr>
        <w:t>在甲方签收之前，货物的所有权和风险均属乙方，货物发生遗失、损坏由乙方负责。</w:t>
      </w:r>
    </w:p>
    <w:p>
      <w:pPr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5、乙方所供的物品出现质量问题或不符合甲方要求时，甲方有权拒收，乙方须及时处理有质量问题或不符合甲方要求的物品。并积极补货。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</w:rPr>
        <w:t>乙方</w:t>
      </w:r>
      <w:r>
        <w:rPr>
          <w:rFonts w:hint="eastAsia" w:ascii="仿宋" w:hAnsi="仿宋" w:eastAsia="仿宋" w:cs="仿宋"/>
          <w:sz w:val="24"/>
          <w:lang w:val="en-US" w:eastAsia="zh-CN"/>
        </w:rPr>
        <w:t>在合同期限内采购服务</w:t>
      </w:r>
      <w:r>
        <w:rPr>
          <w:rFonts w:hint="eastAsia" w:ascii="仿宋" w:hAnsi="仿宋" w:eastAsia="仿宋" w:cs="仿宋"/>
          <w:sz w:val="24"/>
        </w:rPr>
        <w:t>须服从甲方的监督、管理。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7、</w:t>
      </w:r>
      <w:r>
        <w:rPr>
          <w:rFonts w:hint="eastAsia" w:ascii="仿宋" w:hAnsi="仿宋" w:eastAsia="仿宋" w:cs="仿宋"/>
          <w:sz w:val="24"/>
        </w:rPr>
        <w:t>紧急采购或特殊采购，</w:t>
      </w:r>
      <w:r>
        <w:rPr>
          <w:rFonts w:hint="eastAsia" w:ascii="仿宋" w:hAnsi="仿宋" w:eastAsia="仿宋" w:cs="仿宋"/>
          <w:sz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</w:rPr>
        <w:t>可自行采购，不需知会</w:t>
      </w:r>
      <w:r>
        <w:rPr>
          <w:rFonts w:hint="eastAsia" w:ascii="仿宋" w:hAnsi="仿宋" w:eastAsia="仿宋" w:cs="仿宋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3" w:name="_Toc139964009"/>
      <w:r>
        <w:rPr>
          <w:rFonts w:hint="eastAsia" w:ascii="仿宋" w:hAnsi="仿宋" w:eastAsia="仿宋" w:cs="仿宋"/>
          <w:b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4"/>
        </w:rPr>
        <w:t>、争端的解决</w:t>
      </w:r>
      <w:bookmarkEnd w:id="3"/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合同执行过程中发生的任何争议，如双方不能通过友好协商解决，则向佛山市顺德区人民法院提起诉讼。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4" w:name="_Toc139964010"/>
      <w:r>
        <w:rPr>
          <w:rFonts w:hint="eastAsia" w:ascii="仿宋" w:hAnsi="仿宋" w:eastAsia="仿宋" w:cs="仿宋"/>
          <w:b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4"/>
        </w:rPr>
        <w:t>、不可抗力</w:t>
      </w:r>
      <w:bookmarkEnd w:id="4"/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任何一方由于不可抗力原因不能履行合同时，应在不可抗力事件结束后1日内向对方通报，以减轻可能给对方造成的损失，在取得有关机构的不可抗力证明或双方谅解确认后，允许延期履行或修订合同，并根据情况可部分或全部免于承担违约责任。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bookmarkStart w:id="5" w:name="_Toc139964012"/>
      <w:r>
        <w:rPr>
          <w:rFonts w:hint="eastAsia" w:ascii="仿宋" w:hAnsi="仿宋" w:eastAsia="仿宋" w:cs="仿宋"/>
          <w:b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</w:rPr>
        <w:t>、其它</w:t>
      </w:r>
      <w:bookmarkEnd w:id="5"/>
    </w:p>
    <w:p>
      <w:pPr>
        <w:numPr>
          <w:ilvl w:val="0"/>
          <w:numId w:val="2"/>
        </w:num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本合同所有附件、采购</w:t>
      </w:r>
      <w:r>
        <w:rPr>
          <w:rFonts w:hint="eastAsia" w:ascii="仿宋" w:hAnsi="仿宋" w:eastAsia="仿宋" w:cs="仿宋"/>
          <w:sz w:val="24"/>
          <w:lang w:val="en-US" w:eastAsia="zh-CN"/>
        </w:rPr>
        <w:t>竞价</w:t>
      </w:r>
      <w:r>
        <w:rPr>
          <w:rFonts w:hint="eastAsia" w:ascii="仿宋" w:hAnsi="仿宋" w:eastAsia="仿宋" w:cs="仿宋"/>
          <w:sz w:val="24"/>
        </w:rPr>
        <w:t>文件、中</w:t>
      </w:r>
      <w:r>
        <w:rPr>
          <w:rFonts w:hint="eastAsia" w:ascii="仿宋" w:hAnsi="仿宋" w:eastAsia="仿宋" w:cs="仿宋"/>
          <w:sz w:val="24"/>
          <w:lang w:val="en-US" w:eastAsia="zh-CN"/>
        </w:rPr>
        <w:t>选</w:t>
      </w:r>
      <w:r>
        <w:rPr>
          <w:rFonts w:hint="eastAsia" w:ascii="仿宋" w:hAnsi="仿宋" w:eastAsia="仿宋" w:cs="仿宋"/>
          <w:sz w:val="24"/>
        </w:rPr>
        <w:t>通知书均为合同的有效组成部分，与本合同具有同等法律效力。</w:t>
      </w:r>
    </w:p>
    <w:p>
      <w:pPr>
        <w:numPr>
          <w:ilvl w:val="0"/>
          <w:numId w:val="2"/>
        </w:num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在执行本合同的过程中，所有经双方签署确认的文件（包括会议纪要、补充协议、往来信函）即成为本合同的有效组成部分。</w:t>
      </w:r>
    </w:p>
    <w:p>
      <w:pPr>
        <w:numPr>
          <w:ilvl w:val="0"/>
          <w:numId w:val="2"/>
        </w:num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如一方地址、电话、传真号码有变更，应在变更当日内书面通知对方，否则，应承担相应责任。 </w:t>
      </w:r>
    </w:p>
    <w:p>
      <w:pPr>
        <w:snapToGrid w:val="0"/>
        <w:spacing w:before="156" w:beforeLines="50" w:line="360" w:lineRule="auto"/>
        <w:ind w:firstLine="241" w:firstLineChars="100"/>
        <w:outlineLvl w:val="2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</w:rPr>
        <w:t>、合同生效</w:t>
      </w:r>
    </w:p>
    <w:p>
      <w:pPr>
        <w:numPr>
          <w:ilvl w:val="0"/>
          <w:numId w:val="3"/>
        </w:num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本合同在甲乙双方法人代表或其授权代表签字盖章后生效。</w:t>
      </w:r>
    </w:p>
    <w:p>
      <w:pPr>
        <w:numPr>
          <w:ilvl w:val="0"/>
          <w:numId w:val="3"/>
        </w:num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合同一式伍份。甲方执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叁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份，乙方执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两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份，均具同等法律效力。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Cs w:val="21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Cs w:val="21"/>
        </w:rPr>
      </w:pPr>
    </w:p>
    <w:p>
      <w:pPr>
        <w:snapToGrid w:val="0"/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甲方（盖章）：佛山市顺德区飞鹅永久墓园管理处</w:t>
      </w:r>
    </w:p>
    <w:p>
      <w:pPr>
        <w:snapToGrid w:val="0"/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法人代表或代表人（签名）：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</w:p>
    <w:p>
      <w:pPr>
        <w:snapToGrid w:val="0"/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乙方（盖章）：</w:t>
      </w:r>
    </w:p>
    <w:p>
      <w:pPr>
        <w:snapToGrid w:val="0"/>
        <w:spacing w:line="360" w:lineRule="auto"/>
        <w:ind w:firstLine="241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法人代表或代表人（签名）：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 户 行：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开户名称：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银行帐号：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签定地点：</w:t>
      </w:r>
      <w:r>
        <w:rPr>
          <w:rFonts w:hint="eastAsia" w:ascii="仿宋" w:hAnsi="仿宋" w:eastAsia="仿宋" w:cs="仿宋"/>
          <w:b/>
          <w:sz w:val="24"/>
        </w:rPr>
        <w:t>佛山市顺德区飞鹅永久墓园管理处</w:t>
      </w:r>
    </w:p>
    <w:p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签定日期： 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 xml:space="preserve">年     月     日  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EB9FC"/>
    <w:multiLevelType w:val="singleLevel"/>
    <w:tmpl w:val="57BEB9F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7BEBA29"/>
    <w:multiLevelType w:val="singleLevel"/>
    <w:tmpl w:val="57BEBA2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82436E1"/>
    <w:multiLevelType w:val="singleLevel"/>
    <w:tmpl w:val="582436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M3M2FkN2IwZTFmMDIxYjZjM2E3MWQ3MjA0YjkifQ=="/>
  </w:docVars>
  <w:rsids>
    <w:rsidRoot w:val="649361CC"/>
    <w:rsid w:val="6493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2024-03-11T11:19:00Z</dcterms:created>
  <dc:creator>courage</dc:creator>
  <cp:lastModifiedBy>courage</cp:lastModifiedBy>
  <dcterms:modified xsi:type="dcterms:W3CDTF">2024-03-11T11:19:18Z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07B29C9E3AB44954807EC9AC2458F388_11</vt:lpwstr>
  </property>
</Properties>
</file>